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114300</wp:posOffset>
            </wp:positionV>
            <wp:extent cx="4876800" cy="1914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7475" r="74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720"/>
        <w:rPr>
          <w:b w:val="1"/>
          <w:color w:val="434343"/>
          <w:sz w:val="36"/>
          <w:szCs w:val="36"/>
        </w:rPr>
      </w:pPr>
      <w:r w:rsidDel="00000000" w:rsidR="00000000" w:rsidRPr="00000000">
        <w:rPr>
          <w:b w:val="1"/>
          <w:color w:val="434343"/>
          <w:sz w:val="36"/>
          <w:szCs w:val="36"/>
          <w:rtl w:val="0"/>
        </w:rPr>
        <w:t xml:space="preserve">APPLICATION CHECKLIST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300" w:lineRule="auto"/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Pastor’s approval for attendance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2 passport size photographs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£50.00 non-refundable application fee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Certified copies of educational qualifications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Signed application w/pastor’s signature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2160" w:hanging="360"/>
        <w:rPr>
          <w:color w:val="274e13"/>
        </w:rPr>
      </w:pPr>
      <w:r w:rsidDel="00000000" w:rsidR="00000000" w:rsidRPr="00000000">
        <w:rPr>
          <w:color w:val="274e13"/>
          <w:sz w:val="30"/>
          <w:szCs w:val="30"/>
          <w:rtl w:val="0"/>
        </w:rPr>
        <w:t xml:space="preserve">Send required documents by email to hbcgbi@aol.com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